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6E852" w14:textId="6A681EBB" w:rsidR="008F4594" w:rsidRDefault="007277B8" w:rsidP="008F4594">
      <w:bookmarkStart w:id="0" w:name="_GoBack"/>
      <w:bookmarkEnd w:id="0"/>
      <w:r>
        <w:t xml:space="preserve"> </w:t>
      </w:r>
      <w:r w:rsidRPr="007277B8">
        <w:rPr>
          <w:highlight w:val="cyan"/>
        </w:rPr>
        <w:t>USFWS Comments are in blue</w:t>
      </w:r>
    </w:p>
    <w:p w14:paraId="15EABE8A" w14:textId="767BC610" w:rsidR="00AE38E8" w:rsidRDefault="00AE38E8" w:rsidP="008F4594">
      <w:r w:rsidRPr="00AE38E8">
        <w:rPr>
          <w:highlight w:val="cyan"/>
        </w:rPr>
        <w:t>We support the tribal lamprey translocation program as an additional pathway for adult migration to u</w:t>
      </w:r>
      <w:r w:rsidR="00354241">
        <w:rPr>
          <w:highlight w:val="cyan"/>
        </w:rPr>
        <w:t>p</w:t>
      </w:r>
      <w:r w:rsidRPr="00AE38E8">
        <w:rPr>
          <w:highlight w:val="cyan"/>
        </w:rPr>
        <w:t>stream tributaries, but not as the only pathway</w:t>
      </w:r>
    </w:p>
    <w:p w14:paraId="056A43C2" w14:textId="38056150" w:rsidR="000B4FC9" w:rsidRDefault="000B4FC9" w:rsidP="008F4594">
      <w:r>
        <w:t>Response:</w:t>
      </w:r>
    </w:p>
    <w:p w14:paraId="699C7B8A" w14:textId="58485603" w:rsidR="008F4594" w:rsidRDefault="00AE38E8" w:rsidP="008F4594">
      <w:r>
        <w:t>Translocation</w:t>
      </w:r>
      <w:r w:rsidR="008F4594">
        <w:t xml:space="preserve"> is the only means to keep lamprey alive and present and moving towards recovery in the </w:t>
      </w:r>
      <w:r w:rsidR="008F66A8">
        <w:t>U</w:t>
      </w:r>
      <w:r w:rsidR="008F4594">
        <w:t xml:space="preserve">pper </w:t>
      </w:r>
      <w:r w:rsidR="008F66A8">
        <w:t>B</w:t>
      </w:r>
      <w:r w:rsidR="008F4594">
        <w:t>asin</w:t>
      </w:r>
      <w:r w:rsidR="008F66A8">
        <w:t>s (Snake and Upper Columbia)</w:t>
      </w:r>
      <w:r w:rsidR="008F4594">
        <w:t>. Dam to dam efficiency and reservoirs pre</w:t>
      </w:r>
      <w:r w:rsidR="00354241">
        <w:t>c</w:t>
      </w:r>
      <w:r w:rsidR="008F4594">
        <w:t>lude lamprey from showing up</w:t>
      </w:r>
      <w:r w:rsidR="008F66A8">
        <w:t xml:space="preserve"> in these Upper Basin</w:t>
      </w:r>
      <w:r w:rsidR="008F4594">
        <w:t xml:space="preserve"> even in </w:t>
      </w:r>
      <w:r w:rsidR="008F66A8">
        <w:t xml:space="preserve">recent </w:t>
      </w:r>
      <w:r w:rsidR="000B4FC9">
        <w:t>high-count</w:t>
      </w:r>
      <w:r w:rsidR="008F66A8">
        <w:t xml:space="preserve"> </w:t>
      </w:r>
      <w:r w:rsidR="008F4594">
        <w:t xml:space="preserve">years. </w:t>
      </w:r>
    </w:p>
    <w:p w14:paraId="28AE1947" w14:textId="07ABC182" w:rsidR="008F66A8" w:rsidRDefault="008F4594" w:rsidP="008F4594">
      <w:r>
        <w:t>For example</w:t>
      </w:r>
      <w:r w:rsidR="008F66A8">
        <w:t>,</w:t>
      </w:r>
      <w:r>
        <w:t xml:space="preserve"> </w:t>
      </w:r>
      <w:r w:rsidR="008F66A8">
        <w:t>t</w:t>
      </w:r>
      <w:r>
        <w:t xml:space="preserve">he </w:t>
      </w:r>
      <w:r w:rsidR="000B4FC9">
        <w:t>10-year</w:t>
      </w:r>
      <w:r>
        <w:t xml:space="preserve"> average over Lo</w:t>
      </w:r>
      <w:r w:rsidR="009F6279">
        <w:t>w</w:t>
      </w:r>
      <w:r>
        <w:t xml:space="preserve">er Granite </w:t>
      </w:r>
      <w:r w:rsidR="008F66A8">
        <w:t>D</w:t>
      </w:r>
      <w:r>
        <w:t xml:space="preserve">am </w:t>
      </w:r>
      <w:r w:rsidR="008F66A8">
        <w:t xml:space="preserve">(Snake River) </w:t>
      </w:r>
      <w:r>
        <w:t>is 93 fish</w:t>
      </w:r>
      <w:r w:rsidR="008F66A8">
        <w:t>.</w:t>
      </w:r>
      <w:r>
        <w:t xml:space="preserve"> </w:t>
      </w:r>
      <w:r w:rsidR="008F66A8">
        <w:t xml:space="preserve">The </w:t>
      </w:r>
      <w:r w:rsidR="000B4FC9">
        <w:t>20-year</w:t>
      </w:r>
      <w:r w:rsidR="008F66A8">
        <w:t xml:space="preserve"> average is 81 fish. </w:t>
      </w:r>
    </w:p>
    <w:p w14:paraId="3A0C7795" w14:textId="20C606B2" w:rsidR="008F4594" w:rsidRDefault="008F66A8" w:rsidP="008F4594">
      <w:r>
        <w:t xml:space="preserve">The </w:t>
      </w:r>
      <w:r w:rsidR="005F1688">
        <w:t>10-year</w:t>
      </w:r>
      <w:r>
        <w:t xml:space="preserve"> average of adult counts at Wells Dam (Upper Columbia) is 51 fish. The </w:t>
      </w:r>
      <w:r w:rsidR="005F1688">
        <w:t>20-year</w:t>
      </w:r>
      <w:r>
        <w:t xml:space="preserve"> average is 171 fish. </w:t>
      </w:r>
    </w:p>
    <w:p w14:paraId="0B547137" w14:textId="5142C02C" w:rsidR="008F66A8" w:rsidRDefault="008F66A8" w:rsidP="008F4594">
      <w:r>
        <w:t xml:space="preserve">Translocation is essentially the “lifeline” to sustain the number of adult lamprey in these Upper Basins and is the “only” method to get adult lamprey up there (absent of drastic and immediate improvement in passage). </w:t>
      </w:r>
    </w:p>
    <w:p w14:paraId="4187F58A" w14:textId="08D33FEA" w:rsidR="008F4594" w:rsidRDefault="008F4594" w:rsidP="008F4594"/>
    <w:p w14:paraId="0A9653C2" w14:textId="5B28CD47" w:rsidR="00AE38E8" w:rsidRDefault="00AE38E8" w:rsidP="008F4594">
      <w:r w:rsidRPr="00AE38E8">
        <w:rPr>
          <w:highlight w:val="cyan"/>
        </w:rPr>
        <w:t>The LPSs that the Corps has built at Bon Dam are a critical part of improving adult lamprey migration through the lower Columbia River</w:t>
      </w:r>
    </w:p>
    <w:p w14:paraId="47580458" w14:textId="421C3FD3" w:rsidR="000B4FC9" w:rsidRDefault="000B4FC9" w:rsidP="008F4594">
      <w:r>
        <w:t>Response:</w:t>
      </w:r>
    </w:p>
    <w:p w14:paraId="4418024F" w14:textId="3CFB2BC1" w:rsidR="008F4594" w:rsidRDefault="008F4594" w:rsidP="008F4594">
      <w:r>
        <w:t xml:space="preserve">We agree, and the tribes have been a critical part of the development and implementation of these LPSs. However, </w:t>
      </w:r>
      <w:r w:rsidR="008F66A8">
        <w:t xml:space="preserve">the overall passage rates </w:t>
      </w:r>
      <w:r>
        <w:t>are still approximately 50% in comparison to Salmonids that are passing at 90% +</w:t>
      </w:r>
      <w:r w:rsidR="008F66A8">
        <w:t>.</w:t>
      </w:r>
    </w:p>
    <w:p w14:paraId="681D5974" w14:textId="77777777" w:rsidR="008F4594" w:rsidRDefault="008F4594" w:rsidP="008F4594">
      <w:r>
        <w:t>Response to 3</w:t>
      </w:r>
      <w:r w:rsidRPr="00B9669E">
        <w:rPr>
          <w:vertAlign w:val="superscript"/>
        </w:rPr>
        <w:t>rd</w:t>
      </w:r>
      <w:r>
        <w:t xml:space="preserve"> point:</w:t>
      </w:r>
    </w:p>
    <w:p w14:paraId="48FD9F4A" w14:textId="50C961B6" w:rsidR="00AE38E8" w:rsidRDefault="00AE38E8" w:rsidP="008F4594">
      <w:r w:rsidRPr="00AE38E8">
        <w:rPr>
          <w:highlight w:val="cyan"/>
        </w:rPr>
        <w:t>We would prefer that the allocation numbers for the translocation program be adjusted to reflect the current years run size, and that this should be done as soon as data are available to make such an adjustment.</w:t>
      </w:r>
    </w:p>
    <w:p w14:paraId="58B657B6" w14:textId="6E43041C" w:rsidR="000B4FC9" w:rsidRDefault="000B4FC9" w:rsidP="008F4594">
      <w:r>
        <w:t>Response:</w:t>
      </w:r>
    </w:p>
    <w:p w14:paraId="44D4C627" w14:textId="707AE41D" w:rsidR="008F4594" w:rsidRDefault="008F4594" w:rsidP="008F4594">
      <w:r>
        <w:t xml:space="preserve">The translocation guidelines </w:t>
      </w:r>
      <w:r w:rsidR="008F66A8">
        <w:t>have been</w:t>
      </w:r>
      <w:r>
        <w:t xml:space="preserve"> determined and agreed upon through </w:t>
      </w:r>
      <w:r w:rsidR="008F66A8">
        <w:t xml:space="preserve">years of discussion and feedback from </w:t>
      </w:r>
      <w:r>
        <w:t xml:space="preserve">all </w:t>
      </w:r>
      <w:r w:rsidR="008F66A8">
        <w:t>co-managers</w:t>
      </w:r>
      <w:r>
        <w:t xml:space="preserve">. </w:t>
      </w:r>
    </w:p>
    <w:p w14:paraId="31C2B211" w14:textId="77777777" w:rsidR="008F4594" w:rsidRDefault="008F4594" w:rsidP="008F4594">
      <w:r>
        <w:t xml:space="preserve">We can </w:t>
      </w:r>
      <w:r w:rsidR="008F66A8">
        <w:t xml:space="preserve">certainly </w:t>
      </w:r>
      <w:r>
        <w:t>bring this recommendation to our CRITFC Commissioners and determine if a change is warranted through that workgroup.</w:t>
      </w:r>
    </w:p>
    <w:p w14:paraId="1535FF3C" w14:textId="2B5D95BB" w:rsidR="008F66A8" w:rsidRDefault="008F66A8" w:rsidP="008F4594">
      <w:r>
        <w:t xml:space="preserve">However, it is important to point out that lamprey counts are not as simple as salmon counts. There are day time counts, night time counts, complexities in lamprey movement with those moving upstream as well as downstream, and various LPS counts that are being calibrated and adjusted throughout the season. We </w:t>
      </w:r>
      <w:r w:rsidR="00354241">
        <w:t xml:space="preserve">typically </w:t>
      </w:r>
      <w:r>
        <w:t xml:space="preserve">do not see a final count </w:t>
      </w:r>
      <w:r w:rsidR="00354241">
        <w:t>until</w:t>
      </w:r>
      <w:r>
        <w:t xml:space="preserve"> November each calendar year. There was a year when the number of lamprey migrating downstream was </w:t>
      </w:r>
      <w:proofErr w:type="gramStart"/>
      <w:r>
        <w:t>actually higher</w:t>
      </w:r>
      <w:proofErr w:type="gramEnd"/>
      <w:r>
        <w:t xml:space="preserve"> than those going upstream during a </w:t>
      </w:r>
      <w:r>
        <w:lastRenderedPageBreak/>
        <w:t>good part of the run</w:t>
      </w:r>
      <w:r w:rsidR="000B4FC9">
        <w:t xml:space="preserve"> </w:t>
      </w:r>
      <w:r>
        <w:t xml:space="preserve">and as a result, ACOE had to estimate the Bonneville Dam count based on its relationship to The Dalles Dam number (an analysis that was done after the season). With all these contingencies, the in-season count is simply not reliable enough to use for annual allocation numbers.  </w:t>
      </w:r>
    </w:p>
    <w:p w14:paraId="2CDFD4DA" w14:textId="77777777" w:rsidR="008F66A8" w:rsidRDefault="008F66A8" w:rsidP="008F4594"/>
    <w:p w14:paraId="60835360" w14:textId="1FEA78F8" w:rsidR="005B63CF" w:rsidRDefault="005B63CF" w:rsidP="008F4594">
      <w:r w:rsidRPr="005B63CF">
        <w:rPr>
          <w:highlight w:val="cyan"/>
        </w:rPr>
        <w:t>We will support the proposal as written for this year, but do not want to see this become a long</w:t>
      </w:r>
      <w:r w:rsidR="00062CEB">
        <w:rPr>
          <w:highlight w:val="cyan"/>
        </w:rPr>
        <w:t xml:space="preserve"> </w:t>
      </w:r>
      <w:r w:rsidRPr="005B63CF">
        <w:rPr>
          <w:highlight w:val="cyan"/>
        </w:rPr>
        <w:t xml:space="preserve">term </w:t>
      </w:r>
      <w:proofErr w:type="gramStart"/>
      <w:r w:rsidRPr="005B63CF">
        <w:rPr>
          <w:highlight w:val="cyan"/>
        </w:rPr>
        <w:t>solution, and</w:t>
      </w:r>
      <w:proofErr w:type="gramEnd"/>
      <w:r w:rsidRPr="005B63CF">
        <w:rPr>
          <w:highlight w:val="cyan"/>
        </w:rPr>
        <w:t xml:space="preserve"> would not support this continuing into the following year.</w:t>
      </w:r>
      <w:r>
        <w:t xml:space="preserve"> </w:t>
      </w:r>
    </w:p>
    <w:p w14:paraId="012F72F3" w14:textId="3A4321B1" w:rsidR="000B4FC9" w:rsidRDefault="000B4FC9" w:rsidP="008F4594">
      <w:r>
        <w:t>Response:</w:t>
      </w:r>
    </w:p>
    <w:p w14:paraId="29C51938" w14:textId="1DF43D67" w:rsidR="008F66A8" w:rsidRDefault="00C86B68" w:rsidP="008F4594">
      <w:r>
        <w:t xml:space="preserve">We too do not look to this as the </w:t>
      </w:r>
      <w:r w:rsidR="000B4FC9">
        <w:t>long-term</w:t>
      </w:r>
      <w:r>
        <w:t xml:space="preserve"> </w:t>
      </w:r>
      <w:r w:rsidR="00311833">
        <w:t>solution,</w:t>
      </w:r>
      <w:r>
        <w:t xml:space="preserve"> but we </w:t>
      </w:r>
      <w:r w:rsidR="008F66A8">
        <w:t xml:space="preserve">suggest there is a need to </w:t>
      </w:r>
      <w:r>
        <w:t xml:space="preserve">retain the option of utilizing this </w:t>
      </w:r>
      <w:r w:rsidR="009F6279">
        <w:t xml:space="preserve">if </w:t>
      </w:r>
      <w:r w:rsidR="005F1688">
        <w:t>necessary,</w:t>
      </w:r>
      <w:r w:rsidR="009F6279">
        <w:t xml:space="preserve"> in any year. </w:t>
      </w:r>
      <w:r w:rsidR="008F4594">
        <w:t xml:space="preserve">We see this as an interim solution until </w:t>
      </w:r>
      <w:r w:rsidR="00354241">
        <w:t xml:space="preserve">lamprey </w:t>
      </w:r>
      <w:r w:rsidR="008F4594">
        <w:t xml:space="preserve">passage </w:t>
      </w:r>
      <w:r w:rsidR="000B4FC9">
        <w:t>efficiencies approaches</w:t>
      </w:r>
      <w:r w:rsidR="00354241">
        <w:t xml:space="preserve"> those of salmonids, i.e.,</w:t>
      </w:r>
      <w:r w:rsidR="008F4594">
        <w:t xml:space="preserve"> 90% or + at each dam (long term solution). </w:t>
      </w:r>
      <w:r w:rsidR="00354241">
        <w:t>T</w:t>
      </w:r>
      <w:r w:rsidR="008F4594">
        <w:t xml:space="preserve">rapping operations have thus far been insufficient to achieve our </w:t>
      </w:r>
      <w:r w:rsidR="008F66A8">
        <w:t xml:space="preserve">translocation </w:t>
      </w:r>
      <w:r w:rsidR="008F4594">
        <w:t>allocation goals</w:t>
      </w:r>
      <w:r w:rsidR="008F66A8">
        <w:t>, and translocation is currently the primary method available to bring fish to the Upper Basins and prevent extinction. In addition</w:t>
      </w:r>
      <w:r w:rsidR="008F4594">
        <w:t xml:space="preserve">, </w:t>
      </w:r>
      <w:r w:rsidR="008F66A8">
        <w:t xml:space="preserve">the fate for the remaining adults that pass Bonneville Dam is mostly unknown (the vast majority never make it to The Dalles Dam and the majority are not detected in the tributaries in between, either). There is an </w:t>
      </w:r>
      <w:r w:rsidR="000B4FC9">
        <w:t xml:space="preserve">unacceptably </w:t>
      </w:r>
      <w:r w:rsidR="008F66A8">
        <w:t>large number of lamprey lost in between these two reaches and we need to understand the big picture that passing Bonneville Dam is not the end of their journey moving upstream as an adult. If their fate is uncertain, what good does it do to only get them upstream of Bonneville Dam?</w:t>
      </w:r>
    </w:p>
    <w:p w14:paraId="09654AF2" w14:textId="5907C964" w:rsidR="008F4594" w:rsidRDefault="008F4594" w:rsidP="008F4594">
      <w:r>
        <w:t>We are trapping in designated locations, but unable to reach allocation even when we maximize</w:t>
      </w:r>
      <w:r w:rsidR="0085522B">
        <w:t xml:space="preserve"> the use of</w:t>
      </w:r>
      <w:r>
        <w:t xml:space="preserve"> </w:t>
      </w:r>
      <w:proofErr w:type="gramStart"/>
      <w:r w:rsidR="0085522B">
        <w:t>all of</w:t>
      </w:r>
      <w:proofErr w:type="gramEnd"/>
      <w:r w:rsidR="0085522B">
        <w:t xml:space="preserve"> our </w:t>
      </w:r>
      <w:r>
        <w:t>existing locations</w:t>
      </w:r>
      <w:r w:rsidR="0085522B">
        <w:t xml:space="preserve"> (we are already doing this)</w:t>
      </w:r>
      <w:r>
        <w:t xml:space="preserve">. </w:t>
      </w:r>
      <w:r w:rsidR="00062CEB">
        <w:t xml:space="preserve">In order to meet our allocations, we need to explore all alternatives available. </w:t>
      </w:r>
      <w:r w:rsidR="0085522B">
        <w:t>We are proposing to trap in the LPSs because this increases efficiency, and none of this can be attainable in the other isolated locations.</w:t>
      </w:r>
    </w:p>
    <w:p w14:paraId="0DF8D1FA" w14:textId="5A5E80B0" w:rsidR="008F66A8" w:rsidRDefault="008F66A8" w:rsidP="008F4594">
      <w:r>
        <w:t xml:space="preserve">We are fighting off extirpation </w:t>
      </w:r>
      <w:r w:rsidR="0085522B">
        <w:t>in many of these Upper Basins</w:t>
      </w:r>
      <w:r>
        <w:t xml:space="preserve">. </w:t>
      </w:r>
      <w:r w:rsidR="000B4FC9">
        <w:t>Translocation</w:t>
      </w:r>
      <w:r>
        <w:t xml:space="preserve"> is about avoiding </w:t>
      </w:r>
      <w:r w:rsidR="0085522B">
        <w:t xml:space="preserve">this serious risk of </w:t>
      </w:r>
      <w:r>
        <w:t>extinction</w:t>
      </w:r>
      <w:r w:rsidR="0085522B">
        <w:t xml:space="preserve"> in these Upper Basins</w:t>
      </w:r>
      <w:r>
        <w:t xml:space="preserve">, </w:t>
      </w:r>
      <w:r w:rsidR="0085522B">
        <w:t xml:space="preserve">and this certainly </w:t>
      </w:r>
      <w:r>
        <w:t>begins downriver at Bonneville</w:t>
      </w:r>
      <w:r w:rsidR="0085522B">
        <w:t xml:space="preserve"> Dam</w:t>
      </w:r>
      <w:r>
        <w:t>.</w:t>
      </w:r>
    </w:p>
    <w:p w14:paraId="1D9C0FCE" w14:textId="3C7055A6" w:rsidR="008F0C7C" w:rsidRDefault="008F0C7C" w:rsidP="008F4594">
      <w:r w:rsidRPr="008F0C7C">
        <w:rPr>
          <w:highlight w:val="cyan"/>
        </w:rPr>
        <w:t>We suggest that all interested parties work with the Corps to explore new, long term, alternative trapping locations that are isolated from the primary adult lamprey migration route.</w:t>
      </w:r>
      <w:r>
        <w:t xml:space="preserve"> </w:t>
      </w:r>
    </w:p>
    <w:p w14:paraId="3C928CAF" w14:textId="7F868CF0" w:rsidR="000B4FC9" w:rsidRDefault="000B4FC9" w:rsidP="008F4594">
      <w:r>
        <w:t>Response:</w:t>
      </w:r>
    </w:p>
    <w:p w14:paraId="07171D38" w14:textId="20DCBA15" w:rsidR="008F0C7C" w:rsidRDefault="008F0C7C" w:rsidP="008F4594">
      <w:r>
        <w:t>Yes, we are already doing this, however</w:t>
      </w:r>
      <w:r w:rsidR="0085522B">
        <w:t>,</w:t>
      </w:r>
      <w:r>
        <w:t xml:space="preserve"> </w:t>
      </w:r>
      <w:r w:rsidR="0085522B">
        <w:t xml:space="preserve">what it typically comes down to is that </w:t>
      </w:r>
      <w:r>
        <w:t>there is no funding to advance any of these options</w:t>
      </w:r>
      <w:r w:rsidR="0085522B">
        <w:t xml:space="preserve"> (even the ones that seem promising)</w:t>
      </w:r>
      <w:r>
        <w:t xml:space="preserve">. What we are requesting </w:t>
      </w:r>
      <w:r w:rsidR="0085522B">
        <w:t xml:space="preserve">here </w:t>
      </w:r>
      <w:r>
        <w:t>is a simple low hanging fruit option</w:t>
      </w:r>
      <w:r w:rsidR="00354241">
        <w:t>, one that would require little to no additional investment or resources from the ACOE</w:t>
      </w:r>
      <w:r>
        <w:t>. We are not interested in isolated locations</w:t>
      </w:r>
      <w:r w:rsidR="0085522B">
        <w:t xml:space="preserve"> where the number that can be trapped is insignificant</w:t>
      </w:r>
      <w:r>
        <w:t xml:space="preserve">. See the previous narrative above. </w:t>
      </w:r>
    </w:p>
    <w:p w14:paraId="1CC8967B" w14:textId="77777777" w:rsidR="00062CEB" w:rsidRDefault="008F0C7C" w:rsidP="008F4594">
      <w:r>
        <w:t>Of note, over the previous 10 years; lamprey passage at Bonneville improved by only 5% (from 44 % to 49 %).</w:t>
      </w:r>
      <w:r w:rsidR="0085522B">
        <w:t xml:space="preserve"> Millions and millions of dollars have been spent over the years, and this is the level of improvement we are seeing. Now, what the tribes are doing through translocation is much more efficient – we are providing a lifeline for these lamprey to seed themselves in the Upper Basins where risk of extinction is highly likely if we only depended on volitional passage alone. We applaud all the improvements that have occurred over the years, but that alone is not bringing lamprey back to the </w:t>
      </w:r>
      <w:r w:rsidR="0085522B">
        <w:lastRenderedPageBreak/>
        <w:t xml:space="preserve">Upper Basins (as displayed in the annual numbers) and in dire situations, more aggressive approaches must be taken to reverse the course and the status-quo. </w:t>
      </w:r>
    </w:p>
    <w:p w14:paraId="5641BBCF" w14:textId="77777777" w:rsidR="00062CEB" w:rsidRDefault="00062CEB" w:rsidP="008F4594">
      <w:r>
        <w:t>Please see below;</w:t>
      </w:r>
    </w:p>
    <w:p w14:paraId="32CEC6D9" w14:textId="1F60E41D" w:rsidR="00062CEB" w:rsidRDefault="00062CEB" w:rsidP="008F4594">
      <w:pPr>
        <w:rPr>
          <w:b/>
        </w:rPr>
      </w:pPr>
      <w:r w:rsidRPr="00062CEB">
        <w:rPr>
          <w:b/>
        </w:rPr>
        <w:t xml:space="preserve"> </w:t>
      </w:r>
      <w:r w:rsidR="000B4FC9">
        <w:rPr>
          <w:b/>
        </w:rPr>
        <w:t xml:space="preserve">Final </w:t>
      </w:r>
      <w:r w:rsidRPr="00062CEB">
        <w:rPr>
          <w:b/>
        </w:rPr>
        <w:t>collection for BON by Tribe</w:t>
      </w:r>
      <w:r w:rsidR="000B4FC9">
        <w:rPr>
          <w:b/>
        </w:rPr>
        <w:t xml:space="preserve"> (2019)</w:t>
      </w:r>
      <w:r w:rsidRPr="00062CEB">
        <w:rPr>
          <w:b/>
        </w:rPr>
        <w:t>:</w:t>
      </w:r>
    </w:p>
    <w:tbl>
      <w:tblPr>
        <w:tblStyle w:val="TableGrid"/>
        <w:tblW w:w="0" w:type="auto"/>
        <w:tblLook w:val="04A0" w:firstRow="1" w:lastRow="0" w:firstColumn="1" w:lastColumn="0" w:noHBand="0" w:noVBand="1"/>
      </w:tblPr>
      <w:tblGrid>
        <w:gridCol w:w="662"/>
        <w:gridCol w:w="757"/>
        <w:gridCol w:w="1116"/>
        <w:gridCol w:w="996"/>
        <w:gridCol w:w="948"/>
        <w:gridCol w:w="1008"/>
        <w:gridCol w:w="1583"/>
        <w:gridCol w:w="1044"/>
        <w:gridCol w:w="1236"/>
      </w:tblGrid>
      <w:tr w:rsidR="00975E29" w:rsidRPr="00975E29" w14:paraId="5853F852" w14:textId="77777777" w:rsidTr="00975E29">
        <w:trPr>
          <w:trHeight w:val="675"/>
        </w:trPr>
        <w:tc>
          <w:tcPr>
            <w:tcW w:w="960" w:type="dxa"/>
            <w:noWrap/>
            <w:hideMark/>
          </w:tcPr>
          <w:p w14:paraId="7B4A727F" w14:textId="77777777" w:rsidR="00975E29" w:rsidRPr="00975E29" w:rsidRDefault="00975E29" w:rsidP="00975E29">
            <w:pPr>
              <w:rPr>
                <w:b/>
                <w:bCs/>
                <w:sz w:val="20"/>
                <w:szCs w:val="20"/>
              </w:rPr>
            </w:pPr>
            <w:r w:rsidRPr="00975E29">
              <w:rPr>
                <w:b/>
                <w:bCs/>
                <w:sz w:val="20"/>
                <w:szCs w:val="20"/>
              </w:rPr>
              <w:t>Year</w:t>
            </w:r>
          </w:p>
        </w:tc>
        <w:tc>
          <w:tcPr>
            <w:tcW w:w="1120" w:type="dxa"/>
            <w:hideMark/>
          </w:tcPr>
          <w:p w14:paraId="72176CA4" w14:textId="77777777" w:rsidR="00975E29" w:rsidRPr="00975E29" w:rsidRDefault="00975E29" w:rsidP="00975E29">
            <w:pPr>
              <w:rPr>
                <w:b/>
                <w:bCs/>
                <w:sz w:val="20"/>
                <w:szCs w:val="20"/>
              </w:rPr>
            </w:pPr>
            <w:r w:rsidRPr="00975E29">
              <w:rPr>
                <w:b/>
                <w:bCs/>
                <w:sz w:val="20"/>
                <w:szCs w:val="20"/>
              </w:rPr>
              <w:t>BON Allocation</w:t>
            </w:r>
          </w:p>
        </w:tc>
        <w:tc>
          <w:tcPr>
            <w:tcW w:w="1720" w:type="dxa"/>
            <w:hideMark/>
          </w:tcPr>
          <w:p w14:paraId="07AFCF2F" w14:textId="77777777" w:rsidR="00975E29" w:rsidRPr="00975E29" w:rsidRDefault="00975E29" w:rsidP="00975E29">
            <w:pPr>
              <w:rPr>
                <w:b/>
                <w:bCs/>
                <w:sz w:val="20"/>
                <w:szCs w:val="20"/>
              </w:rPr>
            </w:pPr>
            <w:r w:rsidRPr="00975E29">
              <w:rPr>
                <w:b/>
                <w:bCs/>
                <w:sz w:val="20"/>
                <w:szCs w:val="20"/>
              </w:rPr>
              <w:t>Nez Perce Tribe   # Collected</w:t>
            </w:r>
          </w:p>
        </w:tc>
        <w:tc>
          <w:tcPr>
            <w:tcW w:w="1520" w:type="dxa"/>
            <w:hideMark/>
          </w:tcPr>
          <w:p w14:paraId="7EABFE6F" w14:textId="77777777" w:rsidR="00975E29" w:rsidRPr="00975E29" w:rsidRDefault="00975E29" w:rsidP="00975E29">
            <w:pPr>
              <w:rPr>
                <w:b/>
                <w:bCs/>
                <w:sz w:val="20"/>
                <w:szCs w:val="20"/>
              </w:rPr>
            </w:pPr>
            <w:r w:rsidRPr="00975E29">
              <w:rPr>
                <w:b/>
                <w:bCs/>
                <w:sz w:val="20"/>
                <w:szCs w:val="20"/>
              </w:rPr>
              <w:t>Yakama Nation # Collected</w:t>
            </w:r>
          </w:p>
        </w:tc>
        <w:tc>
          <w:tcPr>
            <w:tcW w:w="1440" w:type="dxa"/>
            <w:hideMark/>
          </w:tcPr>
          <w:p w14:paraId="274CE9A7" w14:textId="77777777" w:rsidR="00975E29" w:rsidRPr="00975E29" w:rsidRDefault="00975E29" w:rsidP="00975E29">
            <w:pPr>
              <w:rPr>
                <w:b/>
                <w:bCs/>
                <w:sz w:val="20"/>
                <w:szCs w:val="20"/>
              </w:rPr>
            </w:pPr>
            <w:r w:rsidRPr="00975E29">
              <w:rPr>
                <w:b/>
                <w:bCs/>
                <w:sz w:val="20"/>
                <w:szCs w:val="20"/>
              </w:rPr>
              <w:t>Umatilla Tribe # Collected</w:t>
            </w:r>
          </w:p>
        </w:tc>
        <w:tc>
          <w:tcPr>
            <w:tcW w:w="1540" w:type="dxa"/>
            <w:hideMark/>
          </w:tcPr>
          <w:p w14:paraId="4CAC72ED" w14:textId="77777777" w:rsidR="00975E29" w:rsidRPr="00975E29" w:rsidRDefault="00975E29" w:rsidP="00975E29">
            <w:pPr>
              <w:rPr>
                <w:b/>
                <w:bCs/>
                <w:sz w:val="20"/>
                <w:szCs w:val="20"/>
              </w:rPr>
            </w:pPr>
            <w:r w:rsidRPr="00975E29">
              <w:rPr>
                <w:b/>
                <w:bCs/>
                <w:sz w:val="20"/>
                <w:szCs w:val="20"/>
              </w:rPr>
              <w:t>Total # Collected for TL^</w:t>
            </w:r>
          </w:p>
        </w:tc>
        <w:tc>
          <w:tcPr>
            <w:tcW w:w="2500" w:type="dxa"/>
            <w:hideMark/>
          </w:tcPr>
          <w:p w14:paraId="0EC1BDF9" w14:textId="77777777" w:rsidR="00975E29" w:rsidRPr="00975E29" w:rsidRDefault="00975E29" w:rsidP="00975E29">
            <w:pPr>
              <w:rPr>
                <w:b/>
                <w:bCs/>
                <w:sz w:val="20"/>
                <w:szCs w:val="20"/>
              </w:rPr>
            </w:pPr>
            <w:r w:rsidRPr="00975E29">
              <w:rPr>
                <w:b/>
                <w:bCs/>
                <w:sz w:val="20"/>
                <w:szCs w:val="20"/>
              </w:rPr>
              <w:t xml:space="preserve">BON Adult Estimate (ACOE Corrected </w:t>
            </w:r>
            <w:proofErr w:type="gramStart"/>
            <w:r w:rsidRPr="00975E29">
              <w:rPr>
                <w:b/>
                <w:bCs/>
                <w:sz w:val="20"/>
                <w:szCs w:val="20"/>
              </w:rPr>
              <w:t>#)*</w:t>
            </w:r>
            <w:proofErr w:type="gramEnd"/>
          </w:p>
        </w:tc>
        <w:tc>
          <w:tcPr>
            <w:tcW w:w="1600" w:type="dxa"/>
            <w:hideMark/>
          </w:tcPr>
          <w:p w14:paraId="39A1C50F" w14:textId="77777777" w:rsidR="00975E29" w:rsidRPr="00975E29" w:rsidRDefault="00975E29" w:rsidP="00975E29">
            <w:pPr>
              <w:rPr>
                <w:b/>
                <w:bCs/>
                <w:sz w:val="20"/>
                <w:szCs w:val="20"/>
              </w:rPr>
            </w:pPr>
            <w:r w:rsidRPr="00975E29">
              <w:rPr>
                <w:b/>
                <w:bCs/>
                <w:sz w:val="20"/>
                <w:szCs w:val="20"/>
              </w:rPr>
              <w:t>% of BON Count Translocated</w:t>
            </w:r>
          </w:p>
        </w:tc>
        <w:tc>
          <w:tcPr>
            <w:tcW w:w="1920" w:type="dxa"/>
            <w:hideMark/>
          </w:tcPr>
          <w:p w14:paraId="0E11B4DB" w14:textId="77777777" w:rsidR="00975E29" w:rsidRPr="00975E29" w:rsidRDefault="00975E29" w:rsidP="00975E29">
            <w:pPr>
              <w:rPr>
                <w:b/>
                <w:bCs/>
                <w:sz w:val="20"/>
                <w:szCs w:val="20"/>
              </w:rPr>
            </w:pPr>
            <w:r w:rsidRPr="00975E29">
              <w:rPr>
                <w:b/>
                <w:bCs/>
                <w:sz w:val="20"/>
                <w:szCs w:val="20"/>
              </w:rPr>
              <w:t>Warm Springs Tribe                       # Collected</w:t>
            </w:r>
          </w:p>
        </w:tc>
      </w:tr>
      <w:tr w:rsidR="00975E29" w:rsidRPr="00975E29" w14:paraId="468457C8" w14:textId="77777777" w:rsidTr="00975E29">
        <w:trPr>
          <w:trHeight w:val="315"/>
        </w:trPr>
        <w:tc>
          <w:tcPr>
            <w:tcW w:w="960" w:type="dxa"/>
            <w:noWrap/>
            <w:hideMark/>
          </w:tcPr>
          <w:p w14:paraId="286A3590" w14:textId="77777777" w:rsidR="00975E29" w:rsidRPr="00975E29" w:rsidRDefault="00975E29" w:rsidP="00975E29">
            <w:pPr>
              <w:rPr>
                <w:b/>
                <w:sz w:val="20"/>
                <w:szCs w:val="20"/>
              </w:rPr>
            </w:pPr>
            <w:r w:rsidRPr="00975E29">
              <w:rPr>
                <w:b/>
                <w:sz w:val="20"/>
                <w:szCs w:val="20"/>
              </w:rPr>
              <w:t>2016</w:t>
            </w:r>
          </w:p>
        </w:tc>
        <w:tc>
          <w:tcPr>
            <w:tcW w:w="1120" w:type="dxa"/>
            <w:noWrap/>
            <w:hideMark/>
          </w:tcPr>
          <w:p w14:paraId="0D958BA4" w14:textId="77777777" w:rsidR="00975E29" w:rsidRPr="00975E29" w:rsidRDefault="00975E29" w:rsidP="00975E29">
            <w:pPr>
              <w:rPr>
                <w:b/>
                <w:sz w:val="20"/>
                <w:szCs w:val="20"/>
              </w:rPr>
            </w:pPr>
            <w:r w:rsidRPr="00975E29">
              <w:rPr>
                <w:b/>
                <w:sz w:val="20"/>
                <w:szCs w:val="20"/>
              </w:rPr>
              <w:t>215</w:t>
            </w:r>
          </w:p>
        </w:tc>
        <w:tc>
          <w:tcPr>
            <w:tcW w:w="1720" w:type="dxa"/>
            <w:noWrap/>
            <w:hideMark/>
          </w:tcPr>
          <w:p w14:paraId="3D1ABA24" w14:textId="77777777" w:rsidR="00975E29" w:rsidRPr="00975E29" w:rsidRDefault="00975E29" w:rsidP="00975E29">
            <w:pPr>
              <w:rPr>
                <w:b/>
                <w:sz w:val="20"/>
                <w:szCs w:val="20"/>
              </w:rPr>
            </w:pPr>
            <w:r w:rsidRPr="00975E29">
              <w:rPr>
                <w:b/>
                <w:sz w:val="20"/>
                <w:szCs w:val="20"/>
              </w:rPr>
              <w:t>215 (100%)</w:t>
            </w:r>
          </w:p>
        </w:tc>
        <w:tc>
          <w:tcPr>
            <w:tcW w:w="1520" w:type="dxa"/>
            <w:noWrap/>
            <w:hideMark/>
          </w:tcPr>
          <w:p w14:paraId="4563CD52" w14:textId="77777777" w:rsidR="00975E29" w:rsidRPr="00975E29" w:rsidRDefault="00975E29" w:rsidP="00975E29">
            <w:pPr>
              <w:rPr>
                <w:b/>
                <w:sz w:val="20"/>
                <w:szCs w:val="20"/>
              </w:rPr>
            </w:pPr>
            <w:r w:rsidRPr="00975E29">
              <w:rPr>
                <w:b/>
                <w:sz w:val="20"/>
                <w:szCs w:val="20"/>
              </w:rPr>
              <w:t>215 (100%)</w:t>
            </w:r>
          </w:p>
        </w:tc>
        <w:tc>
          <w:tcPr>
            <w:tcW w:w="1440" w:type="dxa"/>
            <w:noWrap/>
            <w:hideMark/>
          </w:tcPr>
          <w:p w14:paraId="20C89F41" w14:textId="77777777" w:rsidR="00975E29" w:rsidRPr="00975E29" w:rsidRDefault="00975E29" w:rsidP="00975E29">
            <w:pPr>
              <w:rPr>
                <w:b/>
                <w:sz w:val="20"/>
                <w:szCs w:val="20"/>
              </w:rPr>
            </w:pPr>
            <w:r w:rsidRPr="00975E29">
              <w:rPr>
                <w:b/>
                <w:sz w:val="20"/>
                <w:szCs w:val="20"/>
              </w:rPr>
              <w:t>215 (100%)</w:t>
            </w:r>
          </w:p>
        </w:tc>
        <w:tc>
          <w:tcPr>
            <w:tcW w:w="1540" w:type="dxa"/>
            <w:noWrap/>
            <w:hideMark/>
          </w:tcPr>
          <w:p w14:paraId="4B9239A2" w14:textId="77777777" w:rsidR="00975E29" w:rsidRPr="00975E29" w:rsidRDefault="00975E29" w:rsidP="00975E29">
            <w:pPr>
              <w:rPr>
                <w:b/>
                <w:sz w:val="20"/>
                <w:szCs w:val="20"/>
              </w:rPr>
            </w:pPr>
            <w:r w:rsidRPr="00975E29">
              <w:rPr>
                <w:b/>
                <w:sz w:val="20"/>
                <w:szCs w:val="20"/>
              </w:rPr>
              <w:t>645</w:t>
            </w:r>
          </w:p>
        </w:tc>
        <w:tc>
          <w:tcPr>
            <w:tcW w:w="2500" w:type="dxa"/>
            <w:noWrap/>
            <w:hideMark/>
          </w:tcPr>
          <w:p w14:paraId="43B9DE75" w14:textId="77777777" w:rsidR="00975E29" w:rsidRPr="00975E29" w:rsidRDefault="00975E29" w:rsidP="00975E29">
            <w:pPr>
              <w:rPr>
                <w:b/>
                <w:sz w:val="20"/>
                <w:szCs w:val="20"/>
              </w:rPr>
            </w:pPr>
            <w:r w:rsidRPr="00975E29">
              <w:rPr>
                <w:b/>
                <w:sz w:val="20"/>
                <w:szCs w:val="20"/>
              </w:rPr>
              <w:t>121,812</w:t>
            </w:r>
          </w:p>
        </w:tc>
        <w:tc>
          <w:tcPr>
            <w:tcW w:w="1600" w:type="dxa"/>
            <w:noWrap/>
            <w:hideMark/>
          </w:tcPr>
          <w:p w14:paraId="4C9809D7" w14:textId="77777777" w:rsidR="00975E29" w:rsidRPr="00975E29" w:rsidRDefault="00975E29" w:rsidP="00975E29">
            <w:pPr>
              <w:rPr>
                <w:b/>
                <w:sz w:val="20"/>
                <w:szCs w:val="20"/>
              </w:rPr>
            </w:pPr>
            <w:r w:rsidRPr="00975E29">
              <w:rPr>
                <w:b/>
                <w:sz w:val="20"/>
                <w:szCs w:val="20"/>
              </w:rPr>
              <w:t>0.5</w:t>
            </w:r>
          </w:p>
        </w:tc>
        <w:tc>
          <w:tcPr>
            <w:tcW w:w="1920" w:type="dxa"/>
            <w:noWrap/>
            <w:hideMark/>
          </w:tcPr>
          <w:p w14:paraId="7FBE670D" w14:textId="77777777" w:rsidR="00975E29" w:rsidRPr="00975E29" w:rsidRDefault="00975E29" w:rsidP="00975E29">
            <w:pPr>
              <w:rPr>
                <w:b/>
                <w:sz w:val="20"/>
                <w:szCs w:val="20"/>
              </w:rPr>
            </w:pPr>
            <w:r w:rsidRPr="00975E29">
              <w:rPr>
                <w:b/>
                <w:sz w:val="20"/>
                <w:szCs w:val="20"/>
              </w:rPr>
              <w:t>425</w:t>
            </w:r>
          </w:p>
        </w:tc>
      </w:tr>
      <w:tr w:rsidR="00975E29" w:rsidRPr="00975E29" w14:paraId="33371204" w14:textId="77777777" w:rsidTr="00975E29">
        <w:trPr>
          <w:trHeight w:val="300"/>
        </w:trPr>
        <w:tc>
          <w:tcPr>
            <w:tcW w:w="960" w:type="dxa"/>
            <w:noWrap/>
            <w:hideMark/>
          </w:tcPr>
          <w:p w14:paraId="5E286973" w14:textId="77777777" w:rsidR="00975E29" w:rsidRPr="00975E29" w:rsidRDefault="00975E29" w:rsidP="00975E29">
            <w:pPr>
              <w:rPr>
                <w:b/>
                <w:sz w:val="20"/>
                <w:szCs w:val="20"/>
              </w:rPr>
            </w:pPr>
            <w:r w:rsidRPr="00975E29">
              <w:rPr>
                <w:b/>
                <w:sz w:val="20"/>
                <w:szCs w:val="20"/>
              </w:rPr>
              <w:t>2017</w:t>
            </w:r>
          </w:p>
        </w:tc>
        <w:tc>
          <w:tcPr>
            <w:tcW w:w="1120" w:type="dxa"/>
            <w:noWrap/>
            <w:hideMark/>
          </w:tcPr>
          <w:p w14:paraId="4F6239CB" w14:textId="77777777" w:rsidR="00975E29" w:rsidRPr="00975E29" w:rsidRDefault="00975E29" w:rsidP="00975E29">
            <w:pPr>
              <w:rPr>
                <w:b/>
                <w:sz w:val="20"/>
                <w:szCs w:val="20"/>
              </w:rPr>
            </w:pPr>
            <w:r w:rsidRPr="00975E29">
              <w:rPr>
                <w:b/>
                <w:sz w:val="20"/>
                <w:szCs w:val="20"/>
              </w:rPr>
              <w:t>624</w:t>
            </w:r>
          </w:p>
        </w:tc>
        <w:tc>
          <w:tcPr>
            <w:tcW w:w="1720" w:type="dxa"/>
            <w:noWrap/>
            <w:hideMark/>
          </w:tcPr>
          <w:p w14:paraId="064FF27F" w14:textId="77777777" w:rsidR="00975E29" w:rsidRPr="00975E29" w:rsidRDefault="00975E29" w:rsidP="00975E29">
            <w:pPr>
              <w:rPr>
                <w:b/>
                <w:sz w:val="20"/>
                <w:szCs w:val="20"/>
              </w:rPr>
            </w:pPr>
            <w:r w:rsidRPr="00975E29">
              <w:rPr>
                <w:b/>
                <w:sz w:val="20"/>
                <w:szCs w:val="20"/>
              </w:rPr>
              <w:t>311 (50%)</w:t>
            </w:r>
          </w:p>
        </w:tc>
        <w:tc>
          <w:tcPr>
            <w:tcW w:w="1520" w:type="dxa"/>
            <w:noWrap/>
            <w:hideMark/>
          </w:tcPr>
          <w:p w14:paraId="4416AC22" w14:textId="77777777" w:rsidR="00975E29" w:rsidRPr="00975E29" w:rsidRDefault="00975E29" w:rsidP="00975E29">
            <w:pPr>
              <w:rPr>
                <w:b/>
                <w:sz w:val="20"/>
                <w:szCs w:val="20"/>
              </w:rPr>
            </w:pPr>
            <w:r w:rsidRPr="00975E29">
              <w:rPr>
                <w:b/>
                <w:sz w:val="20"/>
                <w:szCs w:val="20"/>
              </w:rPr>
              <w:t>331 (53%)</w:t>
            </w:r>
          </w:p>
        </w:tc>
        <w:tc>
          <w:tcPr>
            <w:tcW w:w="1440" w:type="dxa"/>
            <w:noWrap/>
            <w:hideMark/>
          </w:tcPr>
          <w:p w14:paraId="34D65E75" w14:textId="77777777" w:rsidR="00975E29" w:rsidRPr="00975E29" w:rsidRDefault="00975E29" w:rsidP="00975E29">
            <w:pPr>
              <w:rPr>
                <w:b/>
                <w:sz w:val="20"/>
                <w:szCs w:val="20"/>
              </w:rPr>
            </w:pPr>
            <w:r w:rsidRPr="00975E29">
              <w:rPr>
                <w:b/>
                <w:sz w:val="20"/>
                <w:szCs w:val="20"/>
              </w:rPr>
              <w:t>550 (88%)</w:t>
            </w:r>
          </w:p>
        </w:tc>
        <w:tc>
          <w:tcPr>
            <w:tcW w:w="1540" w:type="dxa"/>
            <w:noWrap/>
            <w:hideMark/>
          </w:tcPr>
          <w:p w14:paraId="1EF27AA2" w14:textId="77777777" w:rsidR="00975E29" w:rsidRPr="00975E29" w:rsidRDefault="00975E29" w:rsidP="00975E29">
            <w:pPr>
              <w:rPr>
                <w:b/>
                <w:sz w:val="20"/>
                <w:szCs w:val="20"/>
              </w:rPr>
            </w:pPr>
            <w:r w:rsidRPr="00975E29">
              <w:rPr>
                <w:b/>
                <w:sz w:val="20"/>
                <w:szCs w:val="20"/>
              </w:rPr>
              <w:t>1192</w:t>
            </w:r>
          </w:p>
        </w:tc>
        <w:tc>
          <w:tcPr>
            <w:tcW w:w="2500" w:type="dxa"/>
            <w:noWrap/>
            <w:hideMark/>
          </w:tcPr>
          <w:p w14:paraId="5757614E" w14:textId="77777777" w:rsidR="00975E29" w:rsidRPr="00975E29" w:rsidRDefault="00975E29" w:rsidP="00975E29">
            <w:pPr>
              <w:rPr>
                <w:b/>
                <w:sz w:val="20"/>
                <w:szCs w:val="20"/>
              </w:rPr>
            </w:pPr>
            <w:r w:rsidRPr="00975E29">
              <w:rPr>
                <w:b/>
                <w:sz w:val="20"/>
                <w:szCs w:val="20"/>
              </w:rPr>
              <w:t>292,441</w:t>
            </w:r>
          </w:p>
        </w:tc>
        <w:tc>
          <w:tcPr>
            <w:tcW w:w="1600" w:type="dxa"/>
            <w:noWrap/>
            <w:hideMark/>
          </w:tcPr>
          <w:p w14:paraId="4E3CDFFA" w14:textId="77777777" w:rsidR="00975E29" w:rsidRPr="00975E29" w:rsidRDefault="00975E29" w:rsidP="00975E29">
            <w:pPr>
              <w:rPr>
                <w:b/>
                <w:sz w:val="20"/>
                <w:szCs w:val="20"/>
              </w:rPr>
            </w:pPr>
            <w:r w:rsidRPr="00975E29">
              <w:rPr>
                <w:b/>
                <w:sz w:val="20"/>
                <w:szCs w:val="20"/>
              </w:rPr>
              <w:t>0.4</w:t>
            </w:r>
          </w:p>
        </w:tc>
        <w:tc>
          <w:tcPr>
            <w:tcW w:w="1920" w:type="dxa"/>
            <w:noWrap/>
            <w:hideMark/>
          </w:tcPr>
          <w:p w14:paraId="10695037" w14:textId="77777777" w:rsidR="00975E29" w:rsidRPr="00975E29" w:rsidRDefault="00975E29" w:rsidP="00975E29">
            <w:pPr>
              <w:rPr>
                <w:b/>
                <w:sz w:val="20"/>
                <w:szCs w:val="20"/>
              </w:rPr>
            </w:pPr>
            <w:r w:rsidRPr="00975E29">
              <w:rPr>
                <w:b/>
                <w:sz w:val="20"/>
                <w:szCs w:val="20"/>
              </w:rPr>
              <w:t>134</w:t>
            </w:r>
          </w:p>
        </w:tc>
      </w:tr>
      <w:tr w:rsidR="00975E29" w:rsidRPr="00975E29" w14:paraId="6C60C92E" w14:textId="77777777" w:rsidTr="00975E29">
        <w:trPr>
          <w:trHeight w:val="300"/>
        </w:trPr>
        <w:tc>
          <w:tcPr>
            <w:tcW w:w="960" w:type="dxa"/>
            <w:noWrap/>
            <w:hideMark/>
          </w:tcPr>
          <w:p w14:paraId="62BAFA98" w14:textId="77777777" w:rsidR="00975E29" w:rsidRPr="00975E29" w:rsidRDefault="00975E29" w:rsidP="00975E29">
            <w:pPr>
              <w:rPr>
                <w:b/>
                <w:sz w:val="20"/>
                <w:szCs w:val="20"/>
              </w:rPr>
            </w:pPr>
            <w:r w:rsidRPr="00975E29">
              <w:rPr>
                <w:b/>
                <w:sz w:val="20"/>
                <w:szCs w:val="20"/>
              </w:rPr>
              <w:t>2018</w:t>
            </w:r>
          </w:p>
        </w:tc>
        <w:tc>
          <w:tcPr>
            <w:tcW w:w="1120" w:type="dxa"/>
            <w:noWrap/>
            <w:hideMark/>
          </w:tcPr>
          <w:p w14:paraId="3A2C7C93" w14:textId="77777777" w:rsidR="00975E29" w:rsidRPr="00975E29" w:rsidRDefault="00975E29" w:rsidP="00975E29">
            <w:pPr>
              <w:rPr>
                <w:b/>
                <w:sz w:val="20"/>
                <w:szCs w:val="20"/>
              </w:rPr>
            </w:pPr>
            <w:r w:rsidRPr="00975E29">
              <w:rPr>
                <w:b/>
                <w:sz w:val="20"/>
                <w:szCs w:val="20"/>
              </w:rPr>
              <w:t>2060</w:t>
            </w:r>
          </w:p>
        </w:tc>
        <w:tc>
          <w:tcPr>
            <w:tcW w:w="1720" w:type="dxa"/>
            <w:noWrap/>
            <w:hideMark/>
          </w:tcPr>
          <w:p w14:paraId="57B3E7B2" w14:textId="77777777" w:rsidR="00975E29" w:rsidRPr="00975E29" w:rsidRDefault="00975E29" w:rsidP="00975E29">
            <w:pPr>
              <w:rPr>
                <w:b/>
                <w:sz w:val="20"/>
                <w:szCs w:val="20"/>
              </w:rPr>
            </w:pPr>
            <w:r w:rsidRPr="00975E29">
              <w:rPr>
                <w:b/>
                <w:sz w:val="20"/>
                <w:szCs w:val="20"/>
              </w:rPr>
              <w:t>603 (29%)</w:t>
            </w:r>
          </w:p>
        </w:tc>
        <w:tc>
          <w:tcPr>
            <w:tcW w:w="1520" w:type="dxa"/>
            <w:noWrap/>
            <w:hideMark/>
          </w:tcPr>
          <w:p w14:paraId="2BCC7EC4" w14:textId="77777777" w:rsidR="00975E29" w:rsidRPr="00975E29" w:rsidRDefault="00975E29" w:rsidP="00975E29">
            <w:pPr>
              <w:rPr>
                <w:b/>
                <w:sz w:val="20"/>
                <w:szCs w:val="20"/>
              </w:rPr>
            </w:pPr>
            <w:r w:rsidRPr="00975E29">
              <w:rPr>
                <w:b/>
                <w:sz w:val="20"/>
                <w:szCs w:val="20"/>
              </w:rPr>
              <w:t>740 (36%)</w:t>
            </w:r>
          </w:p>
        </w:tc>
        <w:tc>
          <w:tcPr>
            <w:tcW w:w="1440" w:type="dxa"/>
            <w:noWrap/>
            <w:hideMark/>
          </w:tcPr>
          <w:p w14:paraId="5F27FCA5" w14:textId="77777777" w:rsidR="00975E29" w:rsidRPr="00975E29" w:rsidRDefault="00975E29" w:rsidP="00975E29">
            <w:pPr>
              <w:rPr>
                <w:b/>
                <w:sz w:val="20"/>
                <w:szCs w:val="20"/>
              </w:rPr>
            </w:pPr>
            <w:r w:rsidRPr="00975E29">
              <w:rPr>
                <w:b/>
                <w:sz w:val="20"/>
                <w:szCs w:val="20"/>
              </w:rPr>
              <w:t>657 (32%)</w:t>
            </w:r>
          </w:p>
        </w:tc>
        <w:tc>
          <w:tcPr>
            <w:tcW w:w="1540" w:type="dxa"/>
            <w:noWrap/>
            <w:hideMark/>
          </w:tcPr>
          <w:p w14:paraId="1C141ECF" w14:textId="77777777" w:rsidR="00975E29" w:rsidRPr="00975E29" w:rsidRDefault="00975E29" w:rsidP="00975E29">
            <w:pPr>
              <w:rPr>
                <w:b/>
                <w:sz w:val="20"/>
                <w:szCs w:val="20"/>
              </w:rPr>
            </w:pPr>
            <w:r w:rsidRPr="00975E29">
              <w:rPr>
                <w:b/>
                <w:sz w:val="20"/>
                <w:szCs w:val="20"/>
              </w:rPr>
              <w:t>2000</w:t>
            </w:r>
          </w:p>
        </w:tc>
        <w:tc>
          <w:tcPr>
            <w:tcW w:w="2500" w:type="dxa"/>
            <w:noWrap/>
            <w:hideMark/>
          </w:tcPr>
          <w:p w14:paraId="4AEEAF02" w14:textId="77777777" w:rsidR="00975E29" w:rsidRPr="00975E29" w:rsidRDefault="00975E29" w:rsidP="00975E29">
            <w:pPr>
              <w:rPr>
                <w:b/>
                <w:sz w:val="20"/>
                <w:szCs w:val="20"/>
              </w:rPr>
            </w:pPr>
            <w:r w:rsidRPr="00975E29">
              <w:rPr>
                <w:b/>
                <w:sz w:val="20"/>
                <w:szCs w:val="20"/>
              </w:rPr>
              <w:t>131,268</w:t>
            </w:r>
          </w:p>
        </w:tc>
        <w:tc>
          <w:tcPr>
            <w:tcW w:w="1600" w:type="dxa"/>
            <w:noWrap/>
            <w:hideMark/>
          </w:tcPr>
          <w:p w14:paraId="41BCC854" w14:textId="77777777" w:rsidR="00975E29" w:rsidRPr="00975E29" w:rsidRDefault="00975E29" w:rsidP="00975E29">
            <w:pPr>
              <w:rPr>
                <w:b/>
                <w:sz w:val="20"/>
                <w:szCs w:val="20"/>
              </w:rPr>
            </w:pPr>
            <w:r w:rsidRPr="00975E29">
              <w:rPr>
                <w:b/>
                <w:sz w:val="20"/>
                <w:szCs w:val="20"/>
              </w:rPr>
              <w:t>1.5</w:t>
            </w:r>
          </w:p>
        </w:tc>
        <w:tc>
          <w:tcPr>
            <w:tcW w:w="1920" w:type="dxa"/>
            <w:noWrap/>
            <w:hideMark/>
          </w:tcPr>
          <w:p w14:paraId="025E07E0" w14:textId="77777777" w:rsidR="00975E29" w:rsidRPr="00975E29" w:rsidRDefault="00975E29" w:rsidP="00975E29">
            <w:pPr>
              <w:rPr>
                <w:b/>
                <w:sz w:val="20"/>
                <w:szCs w:val="20"/>
              </w:rPr>
            </w:pPr>
            <w:r w:rsidRPr="00975E29">
              <w:rPr>
                <w:b/>
                <w:sz w:val="20"/>
                <w:szCs w:val="20"/>
              </w:rPr>
              <w:t>280</w:t>
            </w:r>
          </w:p>
        </w:tc>
      </w:tr>
      <w:tr w:rsidR="00975E29" w:rsidRPr="00975E29" w14:paraId="54085E8B" w14:textId="77777777" w:rsidTr="00975E29">
        <w:trPr>
          <w:trHeight w:val="315"/>
        </w:trPr>
        <w:tc>
          <w:tcPr>
            <w:tcW w:w="960" w:type="dxa"/>
            <w:noWrap/>
            <w:hideMark/>
          </w:tcPr>
          <w:p w14:paraId="5812DB61" w14:textId="77777777" w:rsidR="00975E29" w:rsidRPr="00975E29" w:rsidRDefault="00975E29" w:rsidP="00975E29">
            <w:pPr>
              <w:rPr>
                <w:b/>
                <w:sz w:val="20"/>
                <w:szCs w:val="20"/>
              </w:rPr>
            </w:pPr>
            <w:r w:rsidRPr="00975E29">
              <w:rPr>
                <w:b/>
                <w:sz w:val="20"/>
                <w:szCs w:val="20"/>
              </w:rPr>
              <w:t>2019</w:t>
            </w:r>
          </w:p>
        </w:tc>
        <w:tc>
          <w:tcPr>
            <w:tcW w:w="1120" w:type="dxa"/>
            <w:noWrap/>
            <w:hideMark/>
          </w:tcPr>
          <w:p w14:paraId="6676F7C5" w14:textId="77777777" w:rsidR="00975E29" w:rsidRPr="00975E29" w:rsidRDefault="00975E29" w:rsidP="00975E29">
            <w:pPr>
              <w:rPr>
                <w:b/>
                <w:sz w:val="20"/>
                <w:szCs w:val="20"/>
              </w:rPr>
            </w:pPr>
            <w:r w:rsidRPr="00975E29">
              <w:rPr>
                <w:b/>
                <w:sz w:val="20"/>
                <w:szCs w:val="20"/>
              </w:rPr>
              <w:t>2118</w:t>
            </w:r>
          </w:p>
        </w:tc>
        <w:tc>
          <w:tcPr>
            <w:tcW w:w="1720" w:type="dxa"/>
            <w:noWrap/>
            <w:hideMark/>
          </w:tcPr>
          <w:p w14:paraId="7D0C311B" w14:textId="77777777" w:rsidR="00975E29" w:rsidRPr="00975E29" w:rsidRDefault="00975E29" w:rsidP="00975E29">
            <w:pPr>
              <w:rPr>
                <w:b/>
                <w:sz w:val="20"/>
                <w:szCs w:val="20"/>
              </w:rPr>
            </w:pPr>
            <w:r w:rsidRPr="00975E29">
              <w:rPr>
                <w:b/>
                <w:sz w:val="20"/>
                <w:szCs w:val="20"/>
              </w:rPr>
              <w:t>324 (15%)</w:t>
            </w:r>
          </w:p>
        </w:tc>
        <w:tc>
          <w:tcPr>
            <w:tcW w:w="1520" w:type="dxa"/>
            <w:noWrap/>
            <w:hideMark/>
          </w:tcPr>
          <w:p w14:paraId="57C4D244" w14:textId="77777777" w:rsidR="00975E29" w:rsidRPr="00975E29" w:rsidRDefault="00975E29" w:rsidP="00975E29">
            <w:pPr>
              <w:rPr>
                <w:b/>
                <w:sz w:val="20"/>
                <w:szCs w:val="20"/>
              </w:rPr>
            </w:pPr>
            <w:r w:rsidRPr="00975E29">
              <w:rPr>
                <w:b/>
                <w:sz w:val="20"/>
                <w:szCs w:val="20"/>
              </w:rPr>
              <w:t>692 (33%)</w:t>
            </w:r>
          </w:p>
        </w:tc>
        <w:tc>
          <w:tcPr>
            <w:tcW w:w="1440" w:type="dxa"/>
            <w:noWrap/>
            <w:hideMark/>
          </w:tcPr>
          <w:p w14:paraId="34C3657A" w14:textId="77777777" w:rsidR="00975E29" w:rsidRPr="00975E29" w:rsidRDefault="00975E29" w:rsidP="00975E29">
            <w:pPr>
              <w:rPr>
                <w:b/>
                <w:sz w:val="20"/>
                <w:szCs w:val="20"/>
              </w:rPr>
            </w:pPr>
            <w:r w:rsidRPr="00975E29">
              <w:rPr>
                <w:b/>
                <w:sz w:val="20"/>
                <w:szCs w:val="20"/>
              </w:rPr>
              <w:t>478 (23%)</w:t>
            </w:r>
          </w:p>
        </w:tc>
        <w:tc>
          <w:tcPr>
            <w:tcW w:w="1540" w:type="dxa"/>
            <w:noWrap/>
            <w:hideMark/>
          </w:tcPr>
          <w:p w14:paraId="4718CCF1" w14:textId="77777777" w:rsidR="00975E29" w:rsidRPr="00975E29" w:rsidRDefault="00975E29" w:rsidP="00975E29">
            <w:pPr>
              <w:rPr>
                <w:b/>
                <w:sz w:val="20"/>
                <w:szCs w:val="20"/>
              </w:rPr>
            </w:pPr>
            <w:r w:rsidRPr="00975E29">
              <w:rPr>
                <w:b/>
                <w:sz w:val="20"/>
                <w:szCs w:val="20"/>
              </w:rPr>
              <w:t>1494</w:t>
            </w:r>
          </w:p>
        </w:tc>
        <w:tc>
          <w:tcPr>
            <w:tcW w:w="2500" w:type="dxa"/>
            <w:noWrap/>
            <w:hideMark/>
          </w:tcPr>
          <w:p w14:paraId="1D7B084E" w14:textId="77777777" w:rsidR="00975E29" w:rsidRPr="00975E29" w:rsidRDefault="00975E29" w:rsidP="00975E29">
            <w:pPr>
              <w:rPr>
                <w:b/>
                <w:sz w:val="20"/>
                <w:szCs w:val="20"/>
              </w:rPr>
            </w:pPr>
            <w:r w:rsidRPr="00975E29">
              <w:rPr>
                <w:b/>
                <w:sz w:val="20"/>
                <w:szCs w:val="20"/>
              </w:rPr>
              <w:t>71,000</w:t>
            </w:r>
          </w:p>
        </w:tc>
        <w:tc>
          <w:tcPr>
            <w:tcW w:w="1600" w:type="dxa"/>
            <w:noWrap/>
            <w:hideMark/>
          </w:tcPr>
          <w:p w14:paraId="13FA4825" w14:textId="77777777" w:rsidR="00975E29" w:rsidRPr="00975E29" w:rsidRDefault="00975E29" w:rsidP="00975E29">
            <w:pPr>
              <w:rPr>
                <w:b/>
                <w:sz w:val="20"/>
                <w:szCs w:val="20"/>
              </w:rPr>
            </w:pPr>
            <w:r w:rsidRPr="00975E29">
              <w:rPr>
                <w:b/>
                <w:sz w:val="20"/>
                <w:szCs w:val="20"/>
              </w:rPr>
              <w:t>2.1</w:t>
            </w:r>
          </w:p>
        </w:tc>
        <w:tc>
          <w:tcPr>
            <w:tcW w:w="1920" w:type="dxa"/>
            <w:noWrap/>
            <w:hideMark/>
          </w:tcPr>
          <w:p w14:paraId="03AE6293" w14:textId="77777777" w:rsidR="00975E29" w:rsidRPr="00975E29" w:rsidRDefault="00975E29" w:rsidP="00975E29">
            <w:pPr>
              <w:rPr>
                <w:b/>
                <w:sz w:val="20"/>
                <w:szCs w:val="20"/>
              </w:rPr>
            </w:pPr>
            <w:r w:rsidRPr="00975E29">
              <w:rPr>
                <w:b/>
                <w:sz w:val="20"/>
                <w:szCs w:val="20"/>
              </w:rPr>
              <w:t>0</w:t>
            </w:r>
          </w:p>
        </w:tc>
      </w:tr>
    </w:tbl>
    <w:p w14:paraId="631BEBEC" w14:textId="77777777" w:rsidR="00975E29" w:rsidRPr="00062CEB" w:rsidRDefault="00975E29" w:rsidP="008F4594">
      <w:pPr>
        <w:rPr>
          <w:b/>
        </w:rPr>
      </w:pPr>
    </w:p>
    <w:p w14:paraId="17E2EC54" w14:textId="758B63EF" w:rsidR="00FD4532" w:rsidRDefault="00975E29" w:rsidP="008F4594">
      <w:r>
        <w:t xml:space="preserve">Of Note: </w:t>
      </w:r>
      <w:r w:rsidR="00FD4532">
        <w:t>From 200</w:t>
      </w:r>
      <w:r w:rsidR="0085522B">
        <w:t>0</w:t>
      </w:r>
      <w:r w:rsidR="00FD4532">
        <w:t xml:space="preserve"> to 2008 </w:t>
      </w:r>
      <w:r w:rsidR="000B4FC9">
        <w:t xml:space="preserve">CTUIR </w:t>
      </w:r>
      <w:r w:rsidR="00FD4532">
        <w:t xml:space="preserve">collected in the </w:t>
      </w:r>
      <w:r w:rsidR="0085522B">
        <w:t xml:space="preserve">Bonneville Dam </w:t>
      </w:r>
      <w:r w:rsidR="00FD4532">
        <w:t xml:space="preserve">using the researcher traps and the CI Trap. They used the </w:t>
      </w:r>
      <w:r w:rsidR="0085522B">
        <w:t>p</w:t>
      </w:r>
      <w:r w:rsidR="00FD4532">
        <w:t xml:space="preserve">ot traps </w:t>
      </w:r>
      <w:r w:rsidR="0085522B">
        <w:t xml:space="preserve">only </w:t>
      </w:r>
      <w:r w:rsidR="00FD4532">
        <w:t xml:space="preserve">starting in 2008. </w:t>
      </w:r>
    </w:p>
    <w:p w14:paraId="622E5239" w14:textId="77777777" w:rsidR="009509A1" w:rsidRDefault="009509A1"/>
    <w:sectPr w:rsidR="009509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440"/>
    <w:rsid w:val="00062CEB"/>
    <w:rsid w:val="000B4FC9"/>
    <w:rsid w:val="00311833"/>
    <w:rsid w:val="00354241"/>
    <w:rsid w:val="003F3440"/>
    <w:rsid w:val="0040203F"/>
    <w:rsid w:val="0052590E"/>
    <w:rsid w:val="005B63CF"/>
    <w:rsid w:val="005F1688"/>
    <w:rsid w:val="007277B8"/>
    <w:rsid w:val="0085522B"/>
    <w:rsid w:val="008F0C7C"/>
    <w:rsid w:val="008F4594"/>
    <w:rsid w:val="008F66A8"/>
    <w:rsid w:val="009509A1"/>
    <w:rsid w:val="00975E29"/>
    <w:rsid w:val="009F6279"/>
    <w:rsid w:val="00AE38E8"/>
    <w:rsid w:val="00C86B68"/>
    <w:rsid w:val="00FD45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21DC4"/>
  <w15:chartTrackingRefBased/>
  <w15:docId w15:val="{2BC065D0-3AE7-4703-BAFB-DF82FFA64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45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F66A8"/>
    <w:rPr>
      <w:sz w:val="16"/>
      <w:szCs w:val="16"/>
    </w:rPr>
  </w:style>
  <w:style w:type="paragraph" w:styleId="CommentText">
    <w:name w:val="annotation text"/>
    <w:basedOn w:val="Normal"/>
    <w:link w:val="CommentTextChar"/>
    <w:uiPriority w:val="99"/>
    <w:semiHidden/>
    <w:unhideWhenUsed/>
    <w:rsid w:val="008F66A8"/>
    <w:pPr>
      <w:spacing w:line="240" w:lineRule="auto"/>
    </w:pPr>
    <w:rPr>
      <w:sz w:val="20"/>
      <w:szCs w:val="20"/>
    </w:rPr>
  </w:style>
  <w:style w:type="character" w:customStyle="1" w:styleId="CommentTextChar">
    <w:name w:val="Comment Text Char"/>
    <w:basedOn w:val="DefaultParagraphFont"/>
    <w:link w:val="CommentText"/>
    <w:uiPriority w:val="99"/>
    <w:semiHidden/>
    <w:rsid w:val="008F66A8"/>
    <w:rPr>
      <w:sz w:val="20"/>
      <w:szCs w:val="20"/>
    </w:rPr>
  </w:style>
  <w:style w:type="paragraph" w:styleId="CommentSubject">
    <w:name w:val="annotation subject"/>
    <w:basedOn w:val="CommentText"/>
    <w:next w:val="CommentText"/>
    <w:link w:val="CommentSubjectChar"/>
    <w:uiPriority w:val="99"/>
    <w:semiHidden/>
    <w:unhideWhenUsed/>
    <w:rsid w:val="008F66A8"/>
    <w:rPr>
      <w:b/>
      <w:bCs/>
    </w:rPr>
  </w:style>
  <w:style w:type="character" w:customStyle="1" w:styleId="CommentSubjectChar">
    <w:name w:val="Comment Subject Char"/>
    <w:basedOn w:val="CommentTextChar"/>
    <w:link w:val="CommentSubject"/>
    <w:uiPriority w:val="99"/>
    <w:semiHidden/>
    <w:rsid w:val="008F66A8"/>
    <w:rPr>
      <w:b/>
      <w:bCs/>
      <w:sz w:val="20"/>
      <w:szCs w:val="20"/>
    </w:rPr>
  </w:style>
  <w:style w:type="paragraph" w:styleId="BalloonText">
    <w:name w:val="Balloon Text"/>
    <w:basedOn w:val="Normal"/>
    <w:link w:val="BalloonTextChar"/>
    <w:uiPriority w:val="99"/>
    <w:semiHidden/>
    <w:unhideWhenUsed/>
    <w:rsid w:val="008F66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66A8"/>
    <w:rPr>
      <w:rFonts w:ascii="Segoe UI" w:hAnsi="Segoe UI" w:cs="Segoe UI"/>
      <w:sz w:val="18"/>
      <w:szCs w:val="18"/>
    </w:rPr>
  </w:style>
  <w:style w:type="table" w:styleId="TableGrid">
    <w:name w:val="Table Grid"/>
    <w:basedOn w:val="TableNormal"/>
    <w:uiPriority w:val="39"/>
    <w:rsid w:val="00975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342084">
      <w:bodyDiv w:val="1"/>
      <w:marLeft w:val="0"/>
      <w:marRight w:val="0"/>
      <w:marTop w:val="0"/>
      <w:marBottom w:val="0"/>
      <w:divBdr>
        <w:top w:val="none" w:sz="0" w:space="0" w:color="auto"/>
        <w:left w:val="none" w:sz="0" w:space="0" w:color="auto"/>
        <w:bottom w:val="none" w:sz="0" w:space="0" w:color="auto"/>
        <w:right w:val="none" w:sz="0" w:space="0" w:color="auto"/>
      </w:divBdr>
    </w:div>
    <w:div w:id="201957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972</Words>
  <Characters>5545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Porter</dc:creator>
  <cp:keywords/>
  <dc:description/>
  <cp:lastModifiedBy>Laurie Porter</cp:lastModifiedBy>
  <cp:revision>2</cp:revision>
  <cp:lastPrinted>2019-09-23T23:57:00Z</cp:lastPrinted>
  <dcterms:created xsi:type="dcterms:W3CDTF">2019-09-24T00:32:00Z</dcterms:created>
  <dcterms:modified xsi:type="dcterms:W3CDTF">2019-09-24T00:32:00Z</dcterms:modified>
</cp:coreProperties>
</file>